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0B" w:rsidRPr="001F4AAD" w:rsidRDefault="00CB1F0B" w:rsidP="00CB1F0B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1F4AAD">
        <w:rPr>
          <w:sz w:val="24"/>
          <w:szCs w:val="24"/>
          <w:lang w:eastAsia="uk-UA"/>
        </w:rPr>
        <w:t>ЗАТВЕРДЖЕНО</w:t>
      </w:r>
    </w:p>
    <w:p w:rsidR="00CB1F0B" w:rsidRPr="001F4AAD" w:rsidRDefault="00CB1F0B" w:rsidP="00CB1F0B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CB1F0B" w:rsidRPr="001F4AAD" w:rsidRDefault="00CB1F0B" w:rsidP="00CB1F0B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1F4AAD"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CB1F0B" w:rsidRPr="001F4AAD" w:rsidRDefault="00CB1F0B" w:rsidP="00CB1F0B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 w:rsidRPr="001F4AAD">
        <w:rPr>
          <w:sz w:val="24"/>
          <w:szCs w:val="24"/>
          <w:u w:val="single"/>
          <w:lang w:eastAsia="uk-UA"/>
        </w:rPr>
        <w:t>07.11.2022</w:t>
      </w:r>
      <w:r w:rsidRPr="001F4AAD">
        <w:rPr>
          <w:sz w:val="24"/>
          <w:szCs w:val="24"/>
          <w:lang w:eastAsia="uk-UA"/>
        </w:rPr>
        <w:t xml:space="preserve">  №   </w:t>
      </w:r>
      <w:r w:rsidRPr="001F4AAD">
        <w:rPr>
          <w:sz w:val="24"/>
          <w:szCs w:val="24"/>
          <w:u w:val="single"/>
          <w:lang w:eastAsia="uk-UA"/>
        </w:rPr>
        <w:t>164/7</w:t>
      </w:r>
    </w:p>
    <w:p w:rsidR="00CB1F0B" w:rsidRPr="001F4AAD" w:rsidRDefault="00CB1F0B" w:rsidP="00CB1F0B"/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2689"/>
        <w:gridCol w:w="4819"/>
        <w:gridCol w:w="2126"/>
      </w:tblGrid>
      <w:tr w:rsidR="00CB1F0B" w:rsidRPr="001F4AAD" w:rsidTr="00CB1F0B">
        <w:trPr>
          <w:cantSplit/>
          <w:trHeight w:val="71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F0B" w:rsidRPr="001F4AAD" w:rsidRDefault="00CB1F0B" w:rsidP="00C85D4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1F4AAD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BB487E8" wp14:editId="27CE913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F0B" w:rsidRPr="001F4AAD" w:rsidRDefault="00CB1F0B" w:rsidP="00C85D4A">
            <w:pPr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  <w:r w:rsidRPr="001F4AAD">
              <w:rPr>
                <w:b/>
                <w:lang w:val="ru-RU" w:eastAsia="ar-SA"/>
              </w:rPr>
              <w:t>МИРГОРОДСЬКА МІСЬКА РАДА</w:t>
            </w:r>
          </w:p>
          <w:p w:rsidR="00CB1F0B" w:rsidRPr="001F4AAD" w:rsidRDefault="00CB1F0B" w:rsidP="00C85D4A">
            <w:pPr>
              <w:suppressAutoHyphens/>
              <w:autoSpaceDE w:val="0"/>
              <w:jc w:val="center"/>
              <w:rPr>
                <w:b/>
                <w:lang w:val="ru-RU" w:eastAsia="ar-SA"/>
              </w:rPr>
            </w:pPr>
            <w:r w:rsidRPr="001F4AAD">
              <w:rPr>
                <w:b/>
                <w:lang w:val="ru-RU" w:eastAsia="ar-SA"/>
              </w:rPr>
              <w:t>ВИКОНАВЧИЙ КОМІТЕТ</w:t>
            </w:r>
          </w:p>
        </w:tc>
      </w:tr>
      <w:tr w:rsidR="00CB1F0B" w:rsidRPr="001F4AAD" w:rsidTr="00CB1F0B">
        <w:trPr>
          <w:cantSplit/>
          <w:trHeight w:val="8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0B" w:rsidRPr="001F4AAD" w:rsidRDefault="00CB1F0B" w:rsidP="00C85D4A">
            <w:pPr>
              <w:suppressAutoHyphens/>
              <w:snapToGrid w:val="0"/>
              <w:jc w:val="center"/>
              <w:rPr>
                <w:sz w:val="26"/>
                <w:szCs w:val="24"/>
                <w:lang w:val="ru-RU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0B" w:rsidRDefault="00CB1F0B" w:rsidP="00C85D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ТЕХНОЛОГІЧНА</w:t>
            </w:r>
            <w:r w:rsidRPr="00E535C7">
              <w:rPr>
                <w:b/>
                <w:sz w:val="24"/>
                <w:szCs w:val="24"/>
                <w:lang w:eastAsia="uk-UA"/>
              </w:rPr>
              <w:t xml:space="preserve"> КАРТКА </w:t>
            </w:r>
          </w:p>
          <w:p w:rsidR="00CB1F0B" w:rsidRPr="001F4AAD" w:rsidRDefault="00CB1F0B" w:rsidP="00C85D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3886">
              <w:rPr>
                <w:b/>
                <w:sz w:val="24"/>
                <w:szCs w:val="24"/>
                <w:lang w:eastAsia="uk-UA"/>
              </w:rPr>
              <w:t>адміністративної послуги з державної реєстрації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0B" w:rsidRPr="001F4AAD" w:rsidRDefault="00CB1F0B" w:rsidP="00C85D4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B1F0B" w:rsidRPr="001F4AAD" w:rsidRDefault="00CB1F0B" w:rsidP="00C85D4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B1F0B" w:rsidRPr="001F4AAD" w:rsidRDefault="00CB1F0B" w:rsidP="00C85D4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B1F0B" w:rsidRPr="001F4AAD" w:rsidRDefault="00CB1F0B" w:rsidP="00C85D4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</w:t>
            </w:r>
            <w:r w:rsidRPr="001F4AAD">
              <w:rPr>
                <w:b/>
                <w:sz w:val="24"/>
                <w:szCs w:val="24"/>
                <w:lang w:val="ru-RU" w:eastAsia="ar-SA"/>
              </w:rPr>
              <w:t>К-19/1</w:t>
            </w:r>
            <w:r>
              <w:rPr>
                <w:b/>
                <w:sz w:val="24"/>
                <w:szCs w:val="24"/>
                <w:lang w:eastAsia="ar-SA"/>
              </w:rPr>
              <w:t>5</w:t>
            </w:r>
          </w:p>
          <w:p w:rsidR="00CB1F0B" w:rsidRPr="001F4AAD" w:rsidRDefault="00CB1F0B" w:rsidP="00C85D4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CB1F0B" w:rsidRPr="001F4AAD" w:rsidRDefault="00CB1F0B" w:rsidP="00C85D4A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192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95"/>
        <w:gridCol w:w="2298"/>
        <w:gridCol w:w="2498"/>
        <w:gridCol w:w="2207"/>
      </w:tblGrid>
      <w:tr w:rsidR="00CB1F0B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Строки виконання етапів (дії, рішення)</w:t>
            </w:r>
          </w:p>
        </w:tc>
      </w:tr>
      <w:tr w:rsidR="00CB1F0B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 xml:space="preserve">няття </w:t>
            </w:r>
            <w:r w:rsidRPr="009A561B">
              <w:rPr>
                <w:sz w:val="24"/>
                <w:szCs w:val="24"/>
                <w:lang w:eastAsia="uk-UA"/>
              </w:rPr>
              <w:t xml:space="preserve">за описом </w:t>
            </w:r>
            <w:r>
              <w:rPr>
                <w:sz w:val="24"/>
                <w:szCs w:val="24"/>
                <w:lang w:eastAsia="uk-UA"/>
              </w:rPr>
              <w:t xml:space="preserve">заяви </w:t>
            </w:r>
            <w:r w:rsidRPr="00EF13C3">
              <w:rPr>
                <w:sz w:val="24"/>
                <w:szCs w:val="24"/>
                <w:lang w:eastAsia="uk-UA"/>
              </w:rPr>
              <w:t>та документів</w:t>
            </w:r>
            <w:r w:rsidRPr="009A561B">
              <w:rPr>
                <w:sz w:val="24"/>
                <w:szCs w:val="24"/>
                <w:lang w:eastAsia="uk-UA"/>
              </w:rPr>
              <w:t xml:space="preserve">, які подаються для державної реєстрації 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1C7FBF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0F77F8" w:rsidRDefault="00CB1F0B" w:rsidP="00C85D4A">
            <w:pPr>
              <w:spacing w:before="100" w:beforeAutospacing="1" w:after="100" w:afterAutospacing="1"/>
              <w:jc w:val="center"/>
              <w:rPr>
                <w:sz w:val="22"/>
                <w:szCs w:val="22"/>
                <w:vertAlign w:val="superscript"/>
                <w:lang w:eastAsia="uk-UA"/>
              </w:rPr>
            </w:pPr>
            <w:r w:rsidRPr="009020DC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CB1F0B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заяви </w:t>
            </w:r>
            <w:r w:rsidRPr="00EF13C3">
              <w:rPr>
                <w:sz w:val="24"/>
                <w:szCs w:val="24"/>
                <w:lang w:eastAsia="uk-UA"/>
              </w:rPr>
              <w:t>та документів та кодом</w:t>
            </w:r>
            <w:r w:rsidRPr="00213DF0">
              <w:rPr>
                <w:sz w:val="24"/>
                <w:szCs w:val="24"/>
                <w:lang w:eastAsia="uk-UA"/>
              </w:rPr>
              <w:t xml:space="preserve"> доступу до результатів розгляду документів через портал електронних сервісів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ий реєстратор, </w:t>
            </w:r>
            <w:r w:rsidRPr="00DD25F8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CB1F0B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1D1246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F13C3">
              <w:rPr>
                <w:sz w:val="24"/>
                <w:szCs w:val="24"/>
                <w:lang w:eastAsia="uk-UA"/>
              </w:rPr>
              <w:t>3. Виготовлення електронних копій поданих документів шляхом їх сканування, які долучаються до заяви, зареєстрованої у Єдиному державному реєстрі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ий реєстратор, </w:t>
            </w:r>
            <w:r w:rsidRPr="00DD25F8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CB1F0B" w:rsidRPr="00FA6136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державного реєстру на розгляд </w:t>
            </w:r>
            <w:r w:rsidRPr="00EA3B16">
              <w:rPr>
                <w:sz w:val="24"/>
                <w:szCs w:val="24"/>
                <w:lang w:eastAsia="uk-UA"/>
              </w:rPr>
              <w:t xml:space="preserve">Східному міжрегіональному </w:t>
            </w:r>
            <w:r>
              <w:rPr>
                <w:sz w:val="24"/>
                <w:szCs w:val="24"/>
                <w:lang w:eastAsia="uk-UA"/>
              </w:rPr>
              <w:t>управлінню Міністерства юстиції заяви та електронних копій документів (у разі їх отримання фронт-офісом)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FA6136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 xml:space="preserve">невідкладно, але не пізніше наступного </w:t>
            </w:r>
            <w:r w:rsidRPr="005175C9">
              <w:rPr>
                <w:sz w:val="24"/>
                <w:szCs w:val="24"/>
                <w:lang w:eastAsia="uk-UA"/>
              </w:rPr>
              <w:lastRenderedPageBreak/>
              <w:t>робочого дня з дати їх отримання</w:t>
            </w:r>
          </w:p>
        </w:tc>
      </w:tr>
      <w:tr w:rsidR="00CB1F0B" w:rsidRPr="00FA6136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5. Надсилання на уніфіковану електронну скриньку </w:t>
            </w:r>
            <w:r w:rsidRPr="00EA3B16">
              <w:rPr>
                <w:sz w:val="24"/>
                <w:szCs w:val="24"/>
                <w:lang w:eastAsia="uk-UA"/>
              </w:rPr>
              <w:t>Східного міжрегіонального управління</w:t>
            </w:r>
            <w:r>
              <w:rPr>
                <w:sz w:val="24"/>
                <w:szCs w:val="24"/>
                <w:lang w:eastAsia="uk-UA"/>
              </w:rPr>
              <w:t xml:space="preserve"> Міністерства юстиції повідомлення </w:t>
            </w:r>
            <w:r w:rsidRPr="00F069F8">
              <w:rPr>
                <w:sz w:val="24"/>
                <w:szCs w:val="24"/>
                <w:lang w:eastAsia="uk-UA"/>
              </w:rPr>
              <w:t>щодо прийому документів для державної реєстрації (у разі їх отримання фронт-офісом)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FA6136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CB1F0B" w:rsidRPr="00256398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E927FE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927FE">
              <w:rPr>
                <w:sz w:val="24"/>
                <w:szCs w:val="24"/>
                <w:lang w:val="ru-RU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 Встановлення черговості розгляду поданих документів для державної реєстрації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5175C9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5175C9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256398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15 робочих днів з дати подання документів для державної реєстрації</w:t>
            </w:r>
          </w:p>
        </w:tc>
      </w:tr>
      <w:tr w:rsidR="00CB1F0B" w:rsidRPr="000F77F8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реєстрації,</w:t>
            </w:r>
            <w:r w:rsidRPr="00AA047C">
              <w:rPr>
                <w:sz w:val="24"/>
                <w:szCs w:val="24"/>
                <w:lang w:eastAsia="uk-UA"/>
              </w:rPr>
              <w:t xml:space="preserve"> </w:t>
            </w:r>
            <w:r w:rsidRPr="00465280">
              <w:rPr>
                <w:sz w:val="24"/>
                <w:szCs w:val="24"/>
                <w:lang w:eastAsia="uk-UA"/>
              </w:rPr>
              <w:t xml:space="preserve">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</w:t>
            </w:r>
            <w:r w:rsidRPr="009D3C1A">
              <w:rPr>
                <w:sz w:val="24"/>
                <w:szCs w:val="24"/>
                <w:lang w:eastAsia="uk-UA"/>
              </w:rPr>
              <w:t xml:space="preserve">для 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0F77F8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val="ru-RU"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CB1F0B" w:rsidRPr="00FA6136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</w:t>
            </w:r>
            <w:r w:rsidRPr="00115078">
              <w:rPr>
                <w:sz w:val="24"/>
                <w:szCs w:val="24"/>
                <w:lang w:eastAsia="uk-UA"/>
              </w:rPr>
              <w:lastRenderedPageBreak/>
              <w:t>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1F7FC7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FA6136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CB1F0B" w:rsidRPr="00FA6136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1F7FC7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FA6136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CB1F0B" w:rsidRPr="00FA6136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1F7FC7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FA6136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CB1F0B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11. </w:t>
            </w:r>
            <w:r w:rsidRPr="006D4AD6">
              <w:rPr>
                <w:sz w:val="24"/>
                <w:szCs w:val="24"/>
                <w:lang w:eastAsia="uk-UA"/>
              </w:rPr>
              <w:t>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6D4AD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день прийняття рішення про відмову у державній реєстрації </w:t>
            </w:r>
          </w:p>
        </w:tc>
      </w:tr>
      <w:tr w:rsidR="00CB1F0B" w:rsidRPr="00FA6136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</w:t>
            </w:r>
            <w:r w:rsidRPr="002779E0">
              <w:rPr>
                <w:sz w:val="24"/>
                <w:szCs w:val="24"/>
                <w:lang w:eastAsia="uk-UA"/>
              </w:rPr>
              <w:lastRenderedPageBreak/>
              <w:t xml:space="preserve">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1F7FC7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FA6136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CB1F0B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  <w:p w:rsidR="00CB1F0B" w:rsidRPr="007D3178" w:rsidRDefault="00CB1F0B" w:rsidP="00C85D4A">
            <w:pPr>
              <w:ind w:firstLine="708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1F7FC7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CB1F0B" w:rsidTr="00A6271D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>я поштовим 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2648C6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CB1F0B" w:rsidRPr="0017666C" w:rsidTr="00A6271D">
        <w:trPr>
          <w:trHeight w:val="2530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для </w:t>
            </w:r>
            <w:r>
              <w:rPr>
                <w:sz w:val="24"/>
                <w:szCs w:val="24"/>
                <w:lang w:eastAsia="uk-UA"/>
              </w:rPr>
              <w:t>відмови в державній реєстрації)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17666C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CB1F0B" w:rsidRPr="0006273E" w:rsidTr="00A6271D">
        <w:trPr>
          <w:trHeight w:val="2530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16. </w:t>
            </w:r>
            <w:r w:rsidRPr="00C60FBC">
              <w:rPr>
                <w:sz w:val="24"/>
                <w:szCs w:val="24"/>
                <w:lang w:eastAsia="uk-UA"/>
              </w:rPr>
              <w:t xml:space="preserve">Надсилання на уніфіковану електронну скриньку фронт-офісу повідомлення про прийняття державним реєстратором рішення про </w:t>
            </w:r>
            <w:r>
              <w:rPr>
                <w:sz w:val="24"/>
                <w:szCs w:val="24"/>
                <w:lang w:eastAsia="uk-UA"/>
              </w:rPr>
              <w:t xml:space="preserve">проведення </w:t>
            </w:r>
            <w:r w:rsidRPr="00C60FBC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60FBC">
              <w:rPr>
                <w:sz w:val="24"/>
                <w:szCs w:val="24"/>
                <w:lang w:eastAsia="uk-UA"/>
              </w:rPr>
              <w:t xml:space="preserve"> реєстрації (у разі отримання документів для </w:t>
            </w:r>
            <w:r w:rsidRPr="00C60FBC">
              <w:rPr>
                <w:sz w:val="24"/>
                <w:szCs w:val="24"/>
                <w:lang w:eastAsia="uk-UA"/>
              </w:rPr>
              <w:lastRenderedPageBreak/>
              <w:t>державної реєстрації фронт-офісом)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3A2A94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06273E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75EB4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проведення державної</w:t>
            </w:r>
            <w:r w:rsidRPr="00475EB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</w:tr>
      <w:tr w:rsidR="00CB1F0B" w:rsidTr="00A6271D">
        <w:trPr>
          <w:trHeight w:val="1766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 Інформування заявника про проведення реєстраційних дій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2648C6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CE3669">
              <w:rPr>
                <w:sz w:val="24"/>
                <w:szCs w:val="24"/>
                <w:lang w:eastAsia="uk-UA"/>
              </w:rPr>
              <w:t>прийняття рішення про проведення державної реєстрації</w:t>
            </w:r>
          </w:p>
        </w:tc>
      </w:tr>
      <w:tr w:rsidR="00CB1F0B" w:rsidRPr="000F77F8" w:rsidTr="00A6271D">
        <w:trPr>
          <w:trHeight w:val="492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Ф</w:t>
            </w:r>
            <w:r w:rsidRPr="00062C78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062C78">
              <w:rPr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  <w:lang w:eastAsia="uk-UA"/>
              </w:rPr>
              <w:t>Єдиного державного реєстру</w:t>
            </w:r>
            <w:r w:rsidRPr="00062C78">
              <w:rPr>
                <w:sz w:val="24"/>
                <w:szCs w:val="24"/>
                <w:lang w:eastAsia="uk-UA"/>
              </w:rPr>
              <w:t xml:space="preserve"> виписк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62C78">
              <w:rPr>
                <w:sz w:val="24"/>
                <w:szCs w:val="24"/>
                <w:lang w:eastAsia="uk-UA"/>
              </w:rPr>
              <w:t>, яка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lang w:eastAsia="uk-UA"/>
              </w:rPr>
              <w:t xml:space="preserve"> (у разі проведення реєстраційної дії)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2648C6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0F77F8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6273E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CB1F0B" w:rsidRPr="00FE3D46" w:rsidTr="00A6271D">
        <w:trPr>
          <w:trHeight w:val="1649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 Н</w:t>
            </w:r>
            <w:r w:rsidRPr="00A442B2">
              <w:rPr>
                <w:sz w:val="24"/>
                <w:szCs w:val="24"/>
                <w:lang w:eastAsia="uk-UA"/>
              </w:rPr>
              <w:t>адсилання поштовим відправленням</w:t>
            </w:r>
            <w:r>
              <w:rPr>
                <w:sz w:val="24"/>
                <w:szCs w:val="24"/>
                <w:lang w:eastAsia="uk-UA"/>
              </w:rPr>
              <w:t xml:space="preserve"> виписки до фронт-офісу </w:t>
            </w:r>
            <w:r w:rsidRPr="00642C7B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905116" w:rsidRDefault="00CB1F0B" w:rsidP="00C85D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0B" w:rsidRPr="00FE3D46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E3D46">
              <w:rPr>
                <w:sz w:val="24"/>
                <w:szCs w:val="24"/>
                <w:lang w:eastAsia="uk-UA"/>
              </w:rPr>
              <w:t xml:space="preserve">у день </w:t>
            </w:r>
            <w:r>
              <w:rPr>
                <w:sz w:val="24"/>
                <w:szCs w:val="24"/>
                <w:lang w:eastAsia="uk-UA"/>
              </w:rPr>
              <w:t>формування виписки</w:t>
            </w:r>
          </w:p>
        </w:tc>
      </w:tr>
      <w:tr w:rsidR="00CB1F0B" w:rsidTr="00A6271D">
        <w:trPr>
          <w:trHeight w:val="1762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 w:rsidRPr="006F6A2C">
              <w:rPr>
                <w:sz w:val="24"/>
                <w:szCs w:val="24"/>
                <w:lang w:eastAsia="uk-UA"/>
              </w:rPr>
              <w:t xml:space="preserve">Надання заявнику </w:t>
            </w:r>
            <w:r>
              <w:rPr>
                <w:sz w:val="24"/>
                <w:szCs w:val="24"/>
                <w:lang w:eastAsia="uk-UA"/>
              </w:rPr>
              <w:t xml:space="preserve">(за його бажанням) </w:t>
            </w:r>
            <w:r w:rsidRPr="006F6A2C">
              <w:rPr>
                <w:sz w:val="24"/>
                <w:szCs w:val="24"/>
                <w:lang w:eastAsia="uk-UA"/>
              </w:rPr>
              <w:t>виписки з Єдиного державного реєстру у паперовій формі з проставленням підпису та печатки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у</w:t>
            </w:r>
            <w:r w:rsidRPr="00AD04F2">
              <w:rPr>
                <w:sz w:val="24"/>
                <w:szCs w:val="24"/>
                <w:lang w:eastAsia="uk-UA"/>
              </w:rPr>
              <w:t xml:space="preserve"> разі подання </w:t>
            </w:r>
            <w:r>
              <w:rPr>
                <w:sz w:val="24"/>
                <w:szCs w:val="24"/>
                <w:lang w:eastAsia="uk-UA"/>
              </w:rPr>
              <w:t xml:space="preserve">ним </w:t>
            </w:r>
            <w:r w:rsidRPr="00AD04F2">
              <w:rPr>
                <w:sz w:val="24"/>
                <w:szCs w:val="24"/>
                <w:lang w:eastAsia="uk-UA"/>
              </w:rPr>
              <w:t>заяви про державну реєстрацію у паперовій формі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CB1F0B" w:rsidRPr="002648C6" w:rsidRDefault="00CB1F0B" w:rsidP="00C85D4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не пізніше наступного робочого дня з дня формування виписки – при направленні виписки поштовим відправленням;</w:t>
            </w:r>
          </w:p>
          <w:p w:rsidR="00CB1F0B" w:rsidRDefault="00CB1F0B" w:rsidP="00C85D4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в день звернення заявника – при отриманні ним виписки особисто</w:t>
            </w:r>
          </w:p>
        </w:tc>
      </w:tr>
    </w:tbl>
    <w:p w:rsidR="007E3016" w:rsidRDefault="00A6271D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56"/>
    <w:rsid w:val="001170DB"/>
    <w:rsid w:val="00130401"/>
    <w:rsid w:val="00A50956"/>
    <w:rsid w:val="00A6271D"/>
    <w:rsid w:val="00A83044"/>
    <w:rsid w:val="00C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33A9-98B1-4695-9123-ED9B6CAA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1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6</cp:revision>
  <dcterms:created xsi:type="dcterms:W3CDTF">2023-03-30T11:48:00Z</dcterms:created>
  <dcterms:modified xsi:type="dcterms:W3CDTF">2023-03-30T12:33:00Z</dcterms:modified>
</cp:coreProperties>
</file>