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68" w:rsidRDefault="00D26D68" w:rsidP="00D26D6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D26D68" w:rsidRDefault="00D26D68" w:rsidP="00D26D68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D26D68" w:rsidRDefault="00D26D68" w:rsidP="00D26D68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D26D68" w:rsidRDefault="00D26D68" w:rsidP="00D26D68">
      <w:pPr>
        <w:tabs>
          <w:tab w:val="left" w:pos="7088"/>
        </w:tabs>
        <w:ind w:left="5670"/>
        <w:jc w:val="left"/>
        <w:rPr>
          <w:sz w:val="24"/>
          <w:szCs w:val="24"/>
          <w:highlight w:val="yellow"/>
          <w:lang w:eastAsia="uk-UA"/>
        </w:rPr>
      </w:pPr>
      <w:r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>
        <w:rPr>
          <w:sz w:val="24"/>
          <w:szCs w:val="24"/>
          <w:u w:val="single"/>
          <w:lang w:eastAsia="uk-UA"/>
        </w:rPr>
        <w:t>164/7</w:t>
      </w:r>
    </w:p>
    <w:p w:rsidR="00D26D68" w:rsidRDefault="00D26D68" w:rsidP="00D26D68"/>
    <w:tbl>
      <w:tblPr>
        <w:tblpPr w:leftFromText="180" w:rightFromText="180" w:bottomFromText="160" w:vertAnchor="text" w:horzAnchor="margin" w:tblpY="194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4677"/>
        <w:gridCol w:w="2268"/>
      </w:tblGrid>
      <w:tr w:rsidR="00D26D68" w:rsidTr="00D26D68">
        <w:trPr>
          <w:cantSplit/>
          <w:trHeight w:val="715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D68" w:rsidRDefault="00D26D68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D68" w:rsidRDefault="00D26D68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МИРГОРОДСЬКА МІСЬКА РАДА</w:t>
            </w:r>
          </w:p>
          <w:p w:rsidR="00D26D68" w:rsidRDefault="00D26D68">
            <w:pPr>
              <w:suppressAutoHyphens/>
              <w:autoSpaceDE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ВИКОНАВЧИЙ КОМІТЕТ</w:t>
            </w:r>
          </w:p>
        </w:tc>
      </w:tr>
      <w:tr w:rsidR="00D26D68" w:rsidTr="00D26D68">
        <w:trPr>
          <w:cantSplit/>
          <w:trHeight w:val="88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6D68" w:rsidRDefault="00D26D68">
            <w:pPr>
              <w:spacing w:line="256" w:lineRule="auto"/>
              <w:jc w:val="left"/>
              <w:rPr>
                <w:rFonts w:cstheme="minorBidi"/>
                <w:b/>
                <w:lang w:val="ru-RU" w:eastAsia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D68" w:rsidRDefault="000626BF">
            <w:pPr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Технологічна</w:t>
            </w:r>
            <w:bookmarkStart w:id="0" w:name="_GoBack"/>
            <w:bookmarkEnd w:id="0"/>
            <w:r w:rsidR="00D26D68">
              <w:rPr>
                <w:rFonts w:cstheme="minorBidi"/>
                <w:b/>
                <w:lang w:val="ru-RU" w:eastAsia="ar-SA"/>
              </w:rPr>
              <w:t xml:space="preserve"> картка</w:t>
            </w:r>
          </w:p>
          <w:p w:rsidR="00D26D68" w:rsidRDefault="00D26D68">
            <w:pPr>
              <w:tabs>
                <w:tab w:val="left" w:pos="3969"/>
              </w:tabs>
              <w:spacing w:line="25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адміністративної послуги з державної реєстрації рішення про припинення творчої спілки, територіального осередку творчої спілки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D68" w:rsidRDefault="00D26D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D26D68" w:rsidRDefault="00D26D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D26D68" w:rsidRDefault="00D26D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D26D68" w:rsidRDefault="00D26D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  <w:r>
              <w:rPr>
                <w:rFonts w:cstheme="minorBidi"/>
                <w:b/>
                <w:sz w:val="24"/>
                <w:szCs w:val="24"/>
                <w:lang w:val="en-US" w:eastAsia="ar-SA"/>
              </w:rPr>
              <w:t>T</w:t>
            </w:r>
            <w:r>
              <w:rPr>
                <w:rFonts w:cstheme="minorBidi"/>
                <w:b/>
                <w:sz w:val="24"/>
                <w:szCs w:val="24"/>
                <w:lang w:val="ru-RU" w:eastAsia="ar-SA"/>
              </w:rPr>
              <w:t>К-19/8</w:t>
            </w:r>
          </w:p>
          <w:p w:rsidR="00D26D68" w:rsidRDefault="00D26D68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D26D68" w:rsidRDefault="00D26D68">
            <w:pPr>
              <w:tabs>
                <w:tab w:val="center" w:pos="4536"/>
                <w:tab w:val="right" w:pos="9072"/>
              </w:tabs>
              <w:suppressAutoHyphens/>
              <w:spacing w:line="256" w:lineRule="auto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224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4"/>
        <w:gridCol w:w="2537"/>
        <w:gridCol w:w="2244"/>
      </w:tblGrid>
      <w:tr w:rsidR="00D26D68" w:rsidRPr="007A49A0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A49A0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A49A0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A49A0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7A49A0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A49A0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7A49A0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D26D68" w:rsidRPr="007A49A0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jc w:val="left"/>
              <w:rPr>
                <w:sz w:val="24"/>
                <w:szCs w:val="24"/>
                <w:lang w:eastAsia="uk-UA"/>
              </w:rPr>
            </w:pPr>
            <w:r w:rsidRPr="007A49A0">
              <w:rPr>
                <w:sz w:val="24"/>
                <w:szCs w:val="24"/>
                <w:lang w:eastAsia="uk-UA"/>
              </w:rPr>
              <w:t xml:space="preserve">1. </w:t>
            </w:r>
            <w:r>
              <w:rPr>
                <w:sz w:val="24"/>
                <w:szCs w:val="24"/>
                <w:lang w:eastAsia="uk-UA"/>
              </w:rPr>
              <w:t>Прийняття</w:t>
            </w:r>
            <w:r w:rsidRPr="007A49A0">
              <w:rPr>
                <w:sz w:val="24"/>
                <w:szCs w:val="24"/>
                <w:lang w:eastAsia="uk-UA"/>
              </w:rPr>
              <w:t xml:space="preserve"> за опи</w:t>
            </w:r>
            <w:r>
              <w:rPr>
                <w:sz w:val="24"/>
                <w:szCs w:val="24"/>
                <w:lang w:eastAsia="uk-UA"/>
              </w:rPr>
              <w:t xml:space="preserve">сом документів, які подані для </w:t>
            </w:r>
            <w:r w:rsidRPr="007A49A0">
              <w:rPr>
                <w:sz w:val="24"/>
                <w:szCs w:val="24"/>
                <w:lang w:eastAsia="uk-UA"/>
              </w:rPr>
              <w:t>державної реєстрації</w:t>
            </w:r>
            <w:r w:rsidRPr="007A49A0">
              <w:rPr>
                <w:sz w:val="24"/>
                <w:szCs w:val="24"/>
                <w:lang w:val="ru-RU" w:eastAsia="uk-UA"/>
              </w:rPr>
              <w:t xml:space="preserve"> </w:t>
            </w:r>
            <w:r w:rsidRPr="0077756D">
              <w:rPr>
                <w:sz w:val="24"/>
                <w:szCs w:val="24"/>
                <w:lang w:eastAsia="uk-UA"/>
              </w:rPr>
              <w:t xml:space="preserve">рішення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7756D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>
              <w:rPr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 xml:space="preserve">, </w:t>
            </w:r>
            <w:r w:rsidRPr="00CA35D6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053F23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77756D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документів</w:t>
            </w:r>
          </w:p>
        </w:tc>
      </w:tr>
      <w:tr w:rsidR="00D26D68" w:rsidRPr="007A49A0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7756D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96FC3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A49A0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>ідділ, фронт-офіс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 xml:space="preserve">у день надходження </w:t>
            </w:r>
            <w:r>
              <w:rPr>
                <w:sz w:val="24"/>
                <w:szCs w:val="24"/>
                <w:lang w:eastAsia="uk-UA"/>
              </w:rPr>
              <w:t>документів</w:t>
            </w:r>
          </w:p>
        </w:tc>
      </w:tr>
      <w:tr w:rsidR="00D26D68" w:rsidRPr="002F3469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Pr="007A54C3">
              <w:rPr>
                <w:sz w:val="24"/>
                <w:szCs w:val="24"/>
                <w:lang w:eastAsia="uk-UA"/>
              </w:rPr>
              <w:t>Виготовлення електронних копій поданих документів шляхом їх сканування</w:t>
            </w:r>
            <w:r w:rsidRPr="0062220D">
              <w:rPr>
                <w:sz w:val="24"/>
                <w:szCs w:val="24"/>
                <w:lang w:eastAsia="uk-UA"/>
              </w:rPr>
              <w:t xml:space="preserve"> у Єдин</w:t>
            </w:r>
            <w:r>
              <w:rPr>
                <w:sz w:val="24"/>
                <w:szCs w:val="24"/>
                <w:lang w:eastAsia="uk-UA"/>
              </w:rPr>
              <w:t>ий</w:t>
            </w:r>
            <w:r w:rsidRPr="0062220D">
              <w:rPr>
                <w:sz w:val="24"/>
                <w:szCs w:val="24"/>
                <w:lang w:eastAsia="uk-UA"/>
              </w:rPr>
              <w:t xml:space="preserve"> державн</w:t>
            </w:r>
            <w:r>
              <w:rPr>
                <w:sz w:val="24"/>
                <w:szCs w:val="24"/>
                <w:lang w:eastAsia="uk-UA"/>
              </w:rPr>
              <w:t>ий реєстр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7756D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77756D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B75C4A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A49A0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>ідділ, фронт-офіс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2F3469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 xml:space="preserve">у день надходження </w:t>
            </w:r>
            <w:r>
              <w:rPr>
                <w:sz w:val="24"/>
                <w:szCs w:val="24"/>
                <w:lang w:eastAsia="uk-UA"/>
              </w:rPr>
              <w:t>документів</w:t>
            </w:r>
          </w:p>
        </w:tc>
      </w:tr>
      <w:tr w:rsidR="00D26D68" w:rsidRPr="00FA6136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державного реєстру на розгляд </w:t>
            </w:r>
            <w:r w:rsidRPr="00FD2A8C">
              <w:rPr>
                <w:sz w:val="24"/>
                <w:szCs w:val="24"/>
                <w:lang w:eastAsia="uk-UA"/>
              </w:rPr>
              <w:t xml:space="preserve">Східному міжрегіональному управлінню Міністерства юстиції </w:t>
            </w:r>
            <w:r>
              <w:rPr>
                <w:sz w:val="24"/>
                <w:szCs w:val="24"/>
                <w:lang w:eastAsia="uk-UA"/>
              </w:rPr>
              <w:lastRenderedPageBreak/>
              <w:t>електронних копій документів (у разі їх отримання фронт-офісом)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FA6136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D26D68" w:rsidRPr="00FA6136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58194C">
              <w:rPr>
                <w:sz w:val="24"/>
                <w:szCs w:val="24"/>
                <w:lang w:eastAsia="uk-UA"/>
              </w:rPr>
              <w:t xml:space="preserve">Східного міжрегіонального управління Міністерства юстиції </w:t>
            </w:r>
            <w:r>
              <w:rPr>
                <w:sz w:val="24"/>
                <w:szCs w:val="24"/>
                <w:lang w:eastAsia="uk-UA"/>
              </w:rPr>
              <w:t xml:space="preserve">повідомлення </w:t>
            </w:r>
            <w:r w:rsidRPr="00F069F8">
              <w:rPr>
                <w:sz w:val="24"/>
                <w:szCs w:val="24"/>
                <w:lang w:eastAsia="uk-UA"/>
              </w:rPr>
              <w:t xml:space="preserve">щодо прийому документів </w:t>
            </w:r>
            <w:r w:rsidRPr="00243DC3">
              <w:rPr>
                <w:sz w:val="24"/>
                <w:szCs w:val="24"/>
                <w:lang w:eastAsia="uk-UA"/>
              </w:rPr>
              <w:t xml:space="preserve">для проведення державної реєстрації </w:t>
            </w:r>
            <w:r w:rsidRPr="00F069F8">
              <w:rPr>
                <w:sz w:val="24"/>
                <w:szCs w:val="24"/>
                <w:lang w:eastAsia="uk-UA"/>
              </w:rPr>
              <w:t>(у разі їх отримання фронт-офісом)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FA6136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D26D68" w:rsidRPr="00FA6136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 В</w:t>
            </w:r>
            <w:r w:rsidRPr="00AE065B">
              <w:rPr>
                <w:sz w:val="24"/>
                <w:szCs w:val="24"/>
                <w:lang w:eastAsia="uk-UA"/>
              </w:rPr>
              <w:t>становл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AE065B">
              <w:rPr>
                <w:sz w:val="24"/>
                <w:szCs w:val="24"/>
                <w:lang w:eastAsia="uk-UA"/>
              </w:rPr>
              <w:t xml:space="preserve"> чергов</w:t>
            </w:r>
            <w:r>
              <w:rPr>
                <w:sz w:val="24"/>
                <w:szCs w:val="24"/>
                <w:lang w:eastAsia="uk-UA"/>
              </w:rPr>
              <w:t>ості</w:t>
            </w:r>
            <w:r w:rsidRPr="00AE065B">
              <w:rPr>
                <w:sz w:val="24"/>
                <w:szCs w:val="24"/>
                <w:lang w:eastAsia="uk-UA"/>
              </w:rPr>
              <w:t xml:space="preserve"> розгляду поданих документів для державної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1F7FC7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FA6136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D26D68" w:rsidRPr="00053F23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4143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</w:t>
            </w:r>
            <w:r w:rsidRPr="00465280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для </w:t>
            </w:r>
            <w:r w:rsidRPr="009D3C1A">
              <w:rPr>
                <w:sz w:val="24"/>
                <w:szCs w:val="24"/>
                <w:lang w:eastAsia="uk-UA"/>
              </w:rPr>
              <w:t xml:space="preserve">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7756D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7A49A0" w:rsidRDefault="00D26D68" w:rsidP="002D128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A49A0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>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053F23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305D4A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305D4A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26D68" w:rsidRPr="00FA6136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1F7FC7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FA6136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D26D68" w:rsidRPr="00FA6136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1F7FC7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FA6136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D26D68" w:rsidRPr="00FA6136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1F7FC7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FA6136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D26D68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</w:t>
            </w:r>
            <w:r w:rsidRPr="00BE3063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BE3063">
              <w:rPr>
                <w:sz w:val="24"/>
                <w:szCs w:val="24"/>
                <w:lang w:eastAsia="uk-UA"/>
              </w:rPr>
              <w:t xml:space="preserve"> повідомлення про 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BE3063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2648C6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D26D68" w:rsidRPr="00FA6136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1F7FC7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FA6136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D26D68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1F7FC7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фронт-офісу – не пізніше наступного робочого дня з дня отримання повідомлення</w:t>
            </w:r>
          </w:p>
        </w:tc>
      </w:tr>
      <w:tr w:rsidR="00D26D68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>я поштовим 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2648C6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D26D68" w:rsidRPr="003E6A71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для </w:t>
            </w:r>
            <w:r>
              <w:rPr>
                <w:sz w:val="24"/>
                <w:szCs w:val="24"/>
                <w:lang w:eastAsia="uk-UA"/>
              </w:rPr>
              <w:t>відмови в державній реєстрації)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3A2A94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905116" w:rsidRDefault="00D26D68" w:rsidP="002D128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3E6A71" w:rsidRDefault="00D26D68" w:rsidP="002D1283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D26D68" w:rsidRPr="006A6B64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6A6B64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</w:t>
            </w:r>
            <w:r w:rsidRPr="006A6B64">
              <w:rPr>
                <w:sz w:val="24"/>
                <w:szCs w:val="24"/>
                <w:lang w:eastAsia="uk-UA"/>
              </w:rPr>
              <w:t>. Надсилання на уніфіковану електронну скриньку фронт-офісу повідомлення про прийняття державним реєстратором рішення про проведення державної реєстрації (у разі отримання документів для державної реєстрації фронт-офісом)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6A6B64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6A6B64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6A6B64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6A6B64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у день прийняття рішення про проведення державної реєстрації</w:t>
            </w:r>
          </w:p>
        </w:tc>
      </w:tr>
      <w:tr w:rsidR="00D26D68" w:rsidRPr="006A6B64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6A6B64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</w:t>
            </w:r>
            <w:r w:rsidRPr="006A6B64">
              <w:rPr>
                <w:sz w:val="24"/>
                <w:szCs w:val="24"/>
                <w:lang w:eastAsia="uk-UA"/>
              </w:rPr>
              <w:t>. Інформування заявника про проведення реєстраційних дій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6A6B64" w:rsidRDefault="00D26D68" w:rsidP="002D1283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6A6B64">
              <w:rPr>
                <w:bCs/>
                <w:iCs/>
                <w:sz w:val="24"/>
                <w:szCs w:val="24"/>
                <w:lang w:eastAsia="uk-UA"/>
              </w:rPr>
              <w:t>державний реєстратор, уповноважена особа фронт-офісу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6A6B64" w:rsidRDefault="00D26D68" w:rsidP="002D128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6A6B64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6A6B64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прийняття рішення </w:t>
            </w:r>
            <w:r w:rsidRPr="006A6B64">
              <w:rPr>
                <w:sz w:val="24"/>
                <w:szCs w:val="24"/>
                <w:lang w:eastAsia="uk-UA"/>
              </w:rPr>
              <w:lastRenderedPageBreak/>
              <w:t>про проведення державної реєстрації</w:t>
            </w:r>
          </w:p>
        </w:tc>
      </w:tr>
      <w:tr w:rsidR="00D26D68" w:rsidRPr="003E67CB" w:rsidTr="00D26D68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0D6743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18</w:t>
            </w:r>
            <w:r w:rsidRPr="000D6743">
              <w:rPr>
                <w:sz w:val="24"/>
                <w:szCs w:val="24"/>
                <w:lang w:eastAsia="uk-UA"/>
              </w:rPr>
              <w:t>. Формування з Єдиного державного реєстру виписки, яка за допомогою програмних засобів ведення Єдиного державного реєстру розміщується на порталі електронних сервісів</w:t>
            </w:r>
            <w:r w:rsidRPr="000D6743"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D6743">
              <w:rPr>
                <w:sz w:val="24"/>
                <w:szCs w:val="24"/>
                <w:lang w:eastAsia="uk-UA"/>
              </w:rPr>
              <w:t xml:space="preserve"> (у разі проведення реєстраційної дії)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0D6743" w:rsidRDefault="00D26D68" w:rsidP="002D128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6743"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0D6743" w:rsidRDefault="00D26D68" w:rsidP="002D1283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0D6743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26D68" w:rsidRPr="003E67CB" w:rsidRDefault="00D26D68" w:rsidP="002D1283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D6743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</w:tbl>
    <w:p w:rsidR="007E3016" w:rsidRDefault="000626BF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63"/>
    <w:rsid w:val="000626BF"/>
    <w:rsid w:val="001170DB"/>
    <w:rsid w:val="00130401"/>
    <w:rsid w:val="00293D63"/>
    <w:rsid w:val="00D2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5558-9A28-457C-8597-EF18037B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4</cp:revision>
  <dcterms:created xsi:type="dcterms:W3CDTF">2023-03-30T10:15:00Z</dcterms:created>
  <dcterms:modified xsi:type="dcterms:W3CDTF">2023-03-30T11:35:00Z</dcterms:modified>
</cp:coreProperties>
</file>